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571C6" w14:textId="204F9DCA" w:rsidR="00680B99" w:rsidRPr="00020280" w:rsidRDefault="0039649B" w:rsidP="002E1B01">
      <w:pPr>
        <w:ind w:left="284" w:right="282"/>
        <w:jc w:val="both"/>
        <w:rPr>
          <w:rFonts w:ascii="Calibri" w:hAnsi="Calibri" w:cs="Calibri"/>
          <w:b/>
          <w:bCs/>
          <w:lang w:val="it-IT"/>
        </w:rPr>
      </w:pPr>
      <w:r w:rsidRPr="00020280">
        <w:rPr>
          <w:rFonts w:ascii="Calibri" w:hAnsi="Calibri" w:cs="Calibri"/>
          <w:b/>
          <w:bCs/>
          <w:lang w:val="it-IT"/>
        </w:rPr>
        <w:t>Avviso di indagine di mercato e richiesta di preventivo per l’affidamento di</w:t>
      </w:r>
      <w:r w:rsidR="00680B99" w:rsidRPr="00020280">
        <w:rPr>
          <w:rFonts w:ascii="Calibri" w:hAnsi="Calibri" w:cs="Calibri"/>
          <w:b/>
          <w:bCs/>
          <w:lang w:val="it-IT"/>
        </w:rPr>
        <w:t xml:space="preserve"> servizi specialistici e tecnici nell’ambito del progetto </w:t>
      </w:r>
      <w:proofErr w:type="spellStart"/>
      <w:r w:rsidR="00680B99" w:rsidRPr="00020280">
        <w:rPr>
          <w:rFonts w:ascii="Calibri" w:hAnsi="Calibri" w:cs="Calibri"/>
          <w:b/>
          <w:bCs/>
          <w:lang w:val="it-IT"/>
        </w:rPr>
        <w:t>Bridging</w:t>
      </w:r>
      <w:proofErr w:type="spellEnd"/>
      <w:r w:rsidR="00680B99" w:rsidRPr="00020280">
        <w:rPr>
          <w:rFonts w:ascii="Calibri" w:hAnsi="Calibri" w:cs="Calibri"/>
          <w:b/>
          <w:bCs/>
          <w:lang w:val="it-IT"/>
        </w:rPr>
        <w:t xml:space="preserve"> Communities </w:t>
      </w:r>
      <w:proofErr w:type="spellStart"/>
      <w:r w:rsidR="00680B99" w:rsidRPr="00020280">
        <w:rPr>
          <w:rFonts w:ascii="Calibri" w:hAnsi="Calibri" w:cs="Calibri"/>
          <w:b/>
          <w:bCs/>
          <w:lang w:val="it-IT"/>
        </w:rPr>
        <w:t>Across</w:t>
      </w:r>
      <w:proofErr w:type="spellEnd"/>
      <w:r w:rsidR="00680B99" w:rsidRPr="00020280">
        <w:rPr>
          <w:rFonts w:ascii="Calibri" w:hAnsi="Calibri" w:cs="Calibri"/>
          <w:b/>
          <w:bCs/>
          <w:lang w:val="it-IT"/>
        </w:rPr>
        <w:t xml:space="preserve"> The South </w:t>
      </w:r>
      <w:proofErr w:type="spellStart"/>
      <w:r w:rsidR="00680B99" w:rsidRPr="00020280">
        <w:rPr>
          <w:rFonts w:ascii="Calibri" w:hAnsi="Calibri" w:cs="Calibri"/>
          <w:b/>
          <w:bCs/>
          <w:lang w:val="it-IT"/>
        </w:rPr>
        <w:t>Adriatic</w:t>
      </w:r>
      <w:proofErr w:type="spellEnd"/>
      <w:r w:rsidR="00680B99" w:rsidRPr="00020280">
        <w:rPr>
          <w:rFonts w:ascii="Calibri" w:hAnsi="Calibri" w:cs="Calibri"/>
          <w:b/>
          <w:bCs/>
          <w:lang w:val="it-IT"/>
        </w:rPr>
        <w:t xml:space="preserve"> in acronimo BRIDGING COMMUNITIES N. SA-0300415. PROGRAMMA DI COOPERAZIONE TERRITORIALE EUROPEA INTERREG IPA SOUTH ADRIATIC 2021-2027. CUP MASTER B79I21001360006 CUP DERIVATO B39I21001530007.</w:t>
      </w:r>
    </w:p>
    <w:p w14:paraId="5FA7F5EA" w14:textId="77777777" w:rsidR="002C5D3B" w:rsidRPr="00020280" w:rsidRDefault="002C5D3B" w:rsidP="002E1B01">
      <w:pPr>
        <w:spacing w:after="70" w:line="247" w:lineRule="auto"/>
        <w:jc w:val="both"/>
        <w:rPr>
          <w:lang w:val="it-IT"/>
        </w:rPr>
      </w:pPr>
    </w:p>
    <w:p w14:paraId="0876C7EB" w14:textId="57ADDB27" w:rsidR="00020280" w:rsidRPr="00020280" w:rsidRDefault="00020280" w:rsidP="002E1B01">
      <w:pPr>
        <w:pStyle w:val="Titolo"/>
        <w:jc w:val="both"/>
        <w:rPr>
          <w:bCs/>
          <w:color w:val="2E7116" w:themeColor="accent3" w:themeShade="80"/>
          <w:spacing w:val="0"/>
          <w:kern w:val="0"/>
          <w:sz w:val="28"/>
          <w:szCs w:val="28"/>
          <w:lang w:val="it-IT"/>
        </w:rPr>
      </w:pPr>
      <w:r w:rsidRPr="00020280">
        <w:rPr>
          <w:bCs/>
          <w:color w:val="2E7116" w:themeColor="accent3" w:themeShade="80"/>
          <w:spacing w:val="0"/>
          <w:kern w:val="0"/>
          <w:sz w:val="28"/>
          <w:szCs w:val="28"/>
          <w:lang w:val="it-IT"/>
        </w:rPr>
        <w:t>ALLEGATO D – SCHEMA DI CONTRATTO</w:t>
      </w:r>
    </w:p>
    <w:p w14:paraId="7FE1E09B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</w:p>
    <w:p w14:paraId="1772A71A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TRA</w:t>
      </w:r>
    </w:p>
    <w:p w14:paraId="24814F9D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GEIE, con sede in Via Crispi 1/E, 86100 Campobasso, P. IVA 01479610709, in persona del legale rappresentante [___], di seguito “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>”</w:t>
      </w:r>
    </w:p>
    <w:p w14:paraId="0FD7F23C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E</w:t>
      </w:r>
    </w:p>
    <w:p w14:paraId="6A74A41D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[DENOMINAZIONE AFFIDATARIO], con sede in [___], C.F./P. IVA [___], in persona di [___], di seguito “Affidatario”.</w:t>
      </w:r>
    </w:p>
    <w:p w14:paraId="17C8CED8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Premesso che l’avviso, l’offerta tecnica ed economica e il provvedimento di affidamento [estremi] formano parte integrante del contratto, le parti convengono quanto segue.</w:t>
      </w:r>
    </w:p>
    <w:p w14:paraId="0DB3F3F0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1. Oggetto e documenti contrattuali</w:t>
      </w:r>
    </w:p>
    <w:p w14:paraId="4BA1EBE5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affida all’Affidatario i servizi descritti nell’avviso e nell’offerta accettata. In caso di contrasto prevalgono, nell’ordine: contratto, avviso, chiarimenti scritti di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, offerta tecnica, offerta economica. Restano in capo a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le decisioni, la rappresentanza, l’approvazione dei prodotti e gli obblighi propri del partner.</w:t>
      </w:r>
    </w:p>
    <w:p w14:paraId="1DE38264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2. Durata e avvio</w:t>
      </w:r>
    </w:p>
    <w:p w14:paraId="3C0DF3C5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Il servizio decorre dalla sottoscrizione o dal verbale di avvio e termina il 31 dicembre 2027. Entro 10 giorni dall’avvio l’Affidatario presenta piano operativo e cronoprogramma. Proroghe sono valide solo se scritte e collegate a esigenze del progetto; non comportano automaticamente maggiori compensi.</w:t>
      </w:r>
    </w:p>
    <w:p w14:paraId="7E4DA44E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3. Corrispettivo</w:t>
      </w:r>
    </w:p>
    <w:p w14:paraId="03A53914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Il corrispettivo massimo e omnicomprensivo è euro [___], di cui imponibile euro [___], IVA euro [___] e altri oneri euro [___]. Nessun ulteriore importo è dovuto salvo modifica contrattuale scritta, ammissibile e coperta dal budget.</w:t>
      </w:r>
    </w:p>
    <w:p w14:paraId="748B6797" w14:textId="77777777" w:rsidR="00020280" w:rsidRPr="00020280" w:rsidRDefault="00020280" w:rsidP="002E1B01">
      <w:pPr>
        <w:pStyle w:val="Titolo1"/>
        <w:jc w:val="both"/>
        <w:rPr>
          <w:lang w:val="it-IT"/>
        </w:rPr>
      </w:pPr>
      <w:r w:rsidRPr="00020280">
        <w:rPr>
          <w:color w:val="2E7116" w:themeColor="accent3" w:themeShade="80"/>
          <w:lang w:val="it-IT"/>
        </w:rPr>
        <w:t>4. Stati di avanzamento e pagamenti</w:t>
      </w:r>
    </w:p>
    <w:p w14:paraId="2311F5F5" w14:textId="13ED3B75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BB00FC">
        <w:rPr>
          <w:rFonts w:ascii="Calibri" w:hAnsi="Calibri"/>
          <w:color w:val="1F1F1F"/>
          <w:sz w:val="19"/>
          <w:lang w:val="it-IT"/>
        </w:rPr>
        <w:t xml:space="preserve">Il corrispettivo è pagato come segue: </w:t>
      </w:r>
      <w:r w:rsidR="00C40791" w:rsidRPr="00BB00FC">
        <w:rPr>
          <w:rFonts w:ascii="Calibri" w:hAnsi="Calibri"/>
          <w:color w:val="1F1F1F"/>
          <w:sz w:val="19"/>
          <w:lang w:val="it-IT"/>
        </w:rPr>
        <w:t>18</w:t>
      </w:r>
      <w:r w:rsidRPr="00BB00FC">
        <w:rPr>
          <w:rFonts w:ascii="Calibri" w:hAnsi="Calibri"/>
          <w:color w:val="1F1F1F"/>
          <w:sz w:val="19"/>
          <w:lang w:val="it-IT"/>
        </w:rPr>
        <w:t>% dopo completamento e approvazione del workshop di Casacalenda;</w:t>
      </w:r>
      <w:r w:rsidR="00EF44E5" w:rsidRPr="00BB00FC">
        <w:rPr>
          <w:rFonts w:ascii="Calibri" w:hAnsi="Calibri"/>
          <w:color w:val="1F1F1F"/>
          <w:sz w:val="19"/>
          <w:lang w:val="it-IT"/>
        </w:rPr>
        <w:t xml:space="preserve"> 9% dopo l’organizzazione della partecipazione al workshop in Albania;</w:t>
      </w:r>
      <w:r w:rsidRPr="00BB00FC">
        <w:rPr>
          <w:rFonts w:ascii="Calibri" w:hAnsi="Calibri"/>
          <w:color w:val="1F1F1F"/>
          <w:sz w:val="19"/>
          <w:lang w:val="it-IT"/>
        </w:rPr>
        <w:t xml:space="preserve"> </w:t>
      </w:r>
      <w:r w:rsidR="008B6927" w:rsidRPr="00BB00FC">
        <w:rPr>
          <w:rFonts w:ascii="Calibri" w:hAnsi="Calibri"/>
          <w:color w:val="1F1F1F"/>
          <w:sz w:val="19"/>
          <w:lang w:val="it-IT"/>
        </w:rPr>
        <w:t>3</w:t>
      </w:r>
      <w:r w:rsidRPr="00BB00FC">
        <w:rPr>
          <w:rFonts w:ascii="Calibri" w:hAnsi="Calibri"/>
          <w:color w:val="1F1F1F"/>
          <w:sz w:val="19"/>
          <w:lang w:val="it-IT"/>
        </w:rPr>
        <w:t xml:space="preserve">5% dopo completamento e approvazione del training e dell’evento di Campobasso; </w:t>
      </w:r>
      <w:r w:rsidR="00997FF2" w:rsidRPr="00BB00FC">
        <w:rPr>
          <w:rFonts w:ascii="Calibri" w:hAnsi="Calibri"/>
          <w:color w:val="1F1F1F"/>
          <w:sz w:val="19"/>
          <w:lang w:val="it-IT"/>
        </w:rPr>
        <w:t>2</w:t>
      </w:r>
      <w:r w:rsidR="008B6927" w:rsidRPr="00BB00FC">
        <w:rPr>
          <w:rFonts w:ascii="Calibri" w:hAnsi="Calibri"/>
          <w:color w:val="1F1F1F"/>
          <w:sz w:val="19"/>
          <w:lang w:val="it-IT"/>
        </w:rPr>
        <w:t>1</w:t>
      </w:r>
      <w:r w:rsidR="00997FF2" w:rsidRPr="00BB00FC">
        <w:rPr>
          <w:rFonts w:ascii="Calibri" w:hAnsi="Calibri"/>
          <w:color w:val="1F1F1F"/>
          <w:sz w:val="19"/>
          <w:lang w:val="it-IT"/>
        </w:rPr>
        <w:t xml:space="preserve">% </w:t>
      </w:r>
      <w:r w:rsidR="008C1BD4" w:rsidRPr="00BB00FC">
        <w:rPr>
          <w:rFonts w:ascii="Calibri" w:hAnsi="Calibri"/>
          <w:color w:val="1F1F1F"/>
          <w:sz w:val="19"/>
          <w:lang w:val="it-IT"/>
        </w:rPr>
        <w:t xml:space="preserve">a consegna e approvazione delle Policy </w:t>
      </w:r>
      <w:proofErr w:type="spellStart"/>
      <w:r w:rsidR="008C1BD4" w:rsidRPr="00BB00FC">
        <w:rPr>
          <w:rFonts w:ascii="Calibri" w:hAnsi="Calibri"/>
          <w:color w:val="1F1F1F"/>
          <w:sz w:val="19"/>
          <w:lang w:val="it-IT"/>
        </w:rPr>
        <w:t>raccomandations</w:t>
      </w:r>
      <w:proofErr w:type="spellEnd"/>
      <w:r w:rsidR="008C1BD4" w:rsidRPr="00BB00FC">
        <w:rPr>
          <w:rFonts w:ascii="Calibri" w:hAnsi="Calibri"/>
          <w:color w:val="1F1F1F"/>
          <w:sz w:val="19"/>
          <w:lang w:val="it-IT"/>
        </w:rPr>
        <w:t xml:space="preserve">; </w:t>
      </w:r>
      <w:r w:rsidR="008B6927" w:rsidRPr="00BB00FC">
        <w:rPr>
          <w:rFonts w:ascii="Calibri" w:hAnsi="Calibri"/>
          <w:color w:val="1F1F1F"/>
          <w:sz w:val="19"/>
          <w:lang w:val="it-IT"/>
        </w:rPr>
        <w:t>18</w:t>
      </w:r>
      <w:r w:rsidRPr="00BB00FC">
        <w:rPr>
          <w:rFonts w:ascii="Calibri" w:hAnsi="Calibri"/>
          <w:color w:val="1F1F1F"/>
          <w:sz w:val="19"/>
          <w:lang w:val="it-IT"/>
        </w:rPr>
        <w:t xml:space="preserve">% </w:t>
      </w:r>
      <w:r w:rsidR="008B6927" w:rsidRPr="00BB00FC">
        <w:rPr>
          <w:rFonts w:ascii="Calibri" w:hAnsi="Calibri"/>
          <w:color w:val="1F1F1F"/>
          <w:sz w:val="19"/>
          <w:lang w:val="it-IT"/>
        </w:rPr>
        <w:t xml:space="preserve">dopo l’organizzazione della partecipazione all’evento finale in Albania </w:t>
      </w:r>
      <w:r w:rsidRPr="00BB00FC">
        <w:rPr>
          <w:rFonts w:ascii="Calibri" w:hAnsi="Calibri"/>
          <w:color w:val="1F1F1F"/>
          <w:sz w:val="19"/>
          <w:lang w:val="it-IT"/>
        </w:rPr>
        <w:t>dopo accettazione dei prodotti finali e del dossier conclusivo. Le percentuali possono essere adeguate nel verbale di avvio senza variare il totale. Ogni pagamento richiede fattura, report, prodotti/evidenze, verifica di conformità e regolarità fiscale/contributiva ove verificabile. Termine di pagamento: 30 giorni dalla ricezione della documentazione completa e corretta.</w:t>
      </w:r>
    </w:p>
    <w:p w14:paraId="03157347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5. Esecuzione e gruppo di lavoro</w:t>
      </w:r>
    </w:p>
    <w:p w14:paraId="68F411E7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L’Affidatario opera con autonomia e mezzi propri, rispettando il piano approvato, le istruzioni compatibili con il contratto e le regole del Programma. Le risorse indicate nell’offerta non possono essere sostituite senza preventiva autorizzazione e con profili almeno equivalenti. Non sorge alcun rapporto di lavoro tra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e il personale dell’Affidatario.</w:t>
      </w:r>
    </w:p>
    <w:p w14:paraId="765FC414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lastRenderedPageBreak/>
        <w:t>6. Verifica e accettazione</w:t>
      </w:r>
    </w:p>
    <w:p w14:paraId="52F21918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verifica i prodotti entro 15 giorni dalla consegna e può accettarli, richiedere integrazioni/correzioni con termine congruo o contestare motivatamente la prestazione. L’accettazione non esclude controlli successivi degli organismi del Programma. I prodotti sono consegnati in formato editabile e PDF, con tutte le evidenze e i file sorgente.</w:t>
      </w:r>
    </w:p>
    <w:p w14:paraId="2CB981DD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7. Tracciabilità e controlli</w:t>
      </w:r>
    </w:p>
    <w:p w14:paraId="63B7D473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L’Affidatario mantiene una contabilità e un fascicolo documentale idonei a ricostruire attività e costi, utilizza strumenti di pagamento tracciabili, indica progetto e CUP nella documentazione e conserva gli atti per il periodo richiesto dal Programma e dalla legge. Consente accesso e fornisce collaborazione a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>, Lead Partner, Autorità di gestione, controllori e organismi di audit nazionali ed europei.</w:t>
      </w:r>
    </w:p>
    <w:p w14:paraId="1E5E1F77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8. Divieto di doppio finanziamento e conflitto di interessi</w:t>
      </w:r>
    </w:p>
    <w:p w14:paraId="1BE9C9FC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L’Affidatario garantisce che i medesimi costi e prodotti non siano finanziati da altre fonti e comunica immediatamente ogni conflitto di interesse, anche potenziale. La violazione costituisce grave inadempimento.</w:t>
      </w:r>
    </w:p>
    <w:p w14:paraId="72F69366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9. Subappalto e cessione</w:t>
      </w:r>
    </w:p>
    <w:p w14:paraId="78819B80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Il subappalto è ammesso solo per le parti dichiarate nell’offerta e autorizzate per iscritto; l’Affidatario resta integralmente responsabile. È vietato affidare prestazioni a partner del progetto. Il contratto e i crediti non possono essere ceduti senza consenso scritto di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>, salvi i casi inderogabili di legge.</w:t>
      </w:r>
    </w:p>
    <w:p w14:paraId="1F376979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10. Obblighi di comunicazione</w:t>
      </w:r>
    </w:p>
    <w:p w14:paraId="2BD6170F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Materiali ed eventi devono rispettare la guida di comunicazione Interreg IPA South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Adriatic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e le indicazioni fornite da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>, inclusi emblema dell’Unione, riferimento al cofinanziamento e loghi applicabili. Ogni pubblicazione esterna richiede preventiva approvazione.</w:t>
      </w:r>
    </w:p>
    <w:p w14:paraId="4F3F5498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11. Proprietà intellettuale</w:t>
      </w:r>
    </w:p>
    <w:p w14:paraId="4B9D2342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Dopo il pagamento,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acquisisce, per ogni territorio e per l’intera durata legale di protezione, i diritti di utilizzazione economica sui prodotti originali realizzati, inclusi riproduzione, modifica, traduzione, adattamento, pubblicazione, diffusione e cessione agli organismi e partner del progetto. L’Affidatario conserva la titolarità dei materiali preesistenti, concedendo una licenza non esclusiva, irrevocabile e gratuita nella misura necessaria all’uso dei prodotti. Garantisce la liceità dei contenuti e indica licenze e fonti di terzi.</w:t>
      </w:r>
    </w:p>
    <w:p w14:paraId="665E8539" w14:textId="77777777" w:rsidR="00020280" w:rsidRPr="00020280" w:rsidRDefault="00020280" w:rsidP="002E1B01">
      <w:pPr>
        <w:pStyle w:val="Titolo1"/>
        <w:jc w:val="both"/>
        <w:rPr>
          <w:lang w:val="it-IT"/>
        </w:rPr>
      </w:pPr>
      <w:r w:rsidRPr="00020280">
        <w:rPr>
          <w:color w:val="2E7116" w:themeColor="accent3" w:themeShade="80"/>
          <w:lang w:val="it-IT"/>
        </w:rPr>
        <w:t>12. Riservatezza e dati personali</w:t>
      </w:r>
    </w:p>
    <w:p w14:paraId="5329CB46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L’Affidatario mantiene riservate le informazioni non pubbliche anche dopo la cessazione. Se tratta dati personali per conto di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>, le parti sottoscrivono prima del trattamento un atto ai sensi dell’articolo 28 del regolamento (UE) 2016/679; l’Affidatario applica misure adeguate, tratta solo su istruzione documentata e comunica senza ritardo violazioni di dati.</w:t>
      </w:r>
    </w:p>
    <w:p w14:paraId="05682808" w14:textId="77777777" w:rsidR="00020280" w:rsidRPr="00020280" w:rsidRDefault="00020280" w:rsidP="002E1B01">
      <w:pPr>
        <w:pStyle w:val="Titolo1"/>
        <w:jc w:val="both"/>
        <w:rPr>
          <w:lang w:val="it-IT"/>
        </w:rPr>
      </w:pPr>
      <w:r w:rsidRPr="00020280">
        <w:rPr>
          <w:color w:val="2E7116" w:themeColor="accent3" w:themeShade="80"/>
          <w:lang w:val="it-IT"/>
        </w:rPr>
        <w:t>13. Sicurezza, lavoro e responsabilità</w:t>
      </w:r>
    </w:p>
    <w:p w14:paraId="07D46817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L’Affidatario rispetta la normativa su lavoro, previdenza, assicurazioni e sicurezza ed è responsabile dei danni causati nell’esecuzione. Mantiene, ove pertinente, idonea copertura assicurativa. Eventuali rischi interferenziali e misure di coordinamento sono valutati prima delle attività in presenza.</w:t>
      </w:r>
    </w:p>
    <w:p w14:paraId="7AAA0222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lastRenderedPageBreak/>
        <w:t>14. Penali</w:t>
      </w:r>
    </w:p>
    <w:p w14:paraId="6720D300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 xml:space="preserve">Per ritardi imputabili all’Affidatario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può applicare, previa contestazione e termine per osservazioni, una penale pari all’1 per mille del corrispettivo per ogni giorno di ritardo, fino al 10% del valore contrattuale. Restano salvi il maggior danno e la risoluzione nei casi gravi. Non si applicano penali per forza maggiore tempestivamente documentata.</w:t>
      </w:r>
    </w:p>
    <w:p w14:paraId="714BA28E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15. Recesso, sospensione e risoluzione</w:t>
      </w:r>
    </w:p>
    <w:p w14:paraId="7DA80F94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può recedere per sopravvenute esigenze del progetto, sospensione o revoca del finanziamento, riconoscendo le sole prestazioni regolarmente eseguite e i costi non recuperabili previamente autorizzati. Può risolvere il contratto, previa contestazione quando compatibile, per grave o reiterato inadempimento, perdita dei requisiti, false dichiarazioni, conflitto non sanabile, violazione di riservatezza/dati, doppio finanziamento, subappalto non autorizzato o superamento del limite delle penali.</w:t>
      </w:r>
    </w:p>
    <w:p w14:paraId="336A937B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16. Modifiche e forza maggiore</w:t>
      </w:r>
    </w:p>
    <w:p w14:paraId="1AA8B31F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Ogni modifica deve essere scritta, motivata, coerente con l’Application Form, coperta dal budget e conforme alle regole del Programma. La parte colpita da forza maggiore informa immediatamente l’altra, documenta l’evento e adotta misure ragionevoli per limitarne gli effetti.</w:t>
      </w:r>
    </w:p>
    <w:p w14:paraId="54EC7325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17. Comunicazioni</w:t>
      </w:r>
    </w:p>
    <w:p w14:paraId="0E0A25D7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Le comunicazioni formali sono inviate alle PEC: eurelations@pec.eurelations.eu e [PEC AFFIDATARIO]. Le parti comunicano tempestivamente ogni variazione.</w:t>
      </w:r>
    </w:p>
    <w:p w14:paraId="365A62F3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18. Legge applicabile e foro</w:t>
      </w:r>
    </w:p>
    <w:p w14:paraId="4492E6CF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Il contratto è regolato dalla legge italiana. Per le controversie è competente in via esclusiva il Foro di Campobasso, salvo competenze inderogabili. Le parti possono preliminarmente tentare una soluzione bonaria entro 30 giorni dalla contestazione.</w:t>
      </w:r>
    </w:p>
    <w:p w14:paraId="52AD6791" w14:textId="77777777" w:rsidR="00020280" w:rsidRPr="00020280" w:rsidRDefault="00020280" w:rsidP="002E1B01">
      <w:pPr>
        <w:pStyle w:val="Titolo1"/>
        <w:jc w:val="both"/>
        <w:rPr>
          <w:color w:val="2E7116" w:themeColor="accent3" w:themeShade="80"/>
          <w:lang w:val="it-IT"/>
        </w:rPr>
      </w:pPr>
      <w:r w:rsidRPr="00020280">
        <w:rPr>
          <w:color w:val="2E7116" w:themeColor="accent3" w:themeShade="80"/>
          <w:lang w:val="it-IT"/>
        </w:rPr>
        <w:t>19. Disposizioni finali</w:t>
      </w:r>
    </w:p>
    <w:p w14:paraId="616B13BE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Il contratto non costituisce società, associazione, mandato generale o rapporto di lavoro. L’eventuale nullità di una clausola non pregiudica le altre. Imposte di bollo e registrazione, ove dovute, sono a carico dell’Affidatario secondo legge.</w:t>
      </w:r>
    </w:p>
    <w:p w14:paraId="63E159B5" w14:textId="77777777" w:rsidR="00020280" w:rsidRPr="00020280" w:rsidRDefault="00020280" w:rsidP="002E1B01">
      <w:pPr>
        <w:pStyle w:val="Titolo1"/>
        <w:jc w:val="both"/>
        <w:rPr>
          <w:lang w:val="it-IT"/>
        </w:rPr>
      </w:pPr>
      <w:r w:rsidRPr="00020280">
        <w:rPr>
          <w:lang w:val="it-IT"/>
        </w:rPr>
        <w:t>Allegati contrattuali</w:t>
      </w:r>
    </w:p>
    <w:p w14:paraId="573B4DFE" w14:textId="77777777" w:rsidR="00020280" w:rsidRPr="00020280" w:rsidRDefault="00020280" w:rsidP="002E1B01">
      <w:pPr>
        <w:pStyle w:val="Puntoelenco"/>
        <w:tabs>
          <w:tab w:val="num" w:pos="360"/>
        </w:tabs>
        <w:spacing w:after="70" w:line="247" w:lineRule="auto"/>
        <w:ind w:left="369" w:hanging="142"/>
        <w:jc w:val="both"/>
        <w:rPr>
          <w:lang w:val="it-IT"/>
        </w:rPr>
      </w:pPr>
      <w:r w:rsidRPr="00020280">
        <w:rPr>
          <w:sz w:val="19"/>
          <w:lang w:val="it-IT"/>
        </w:rPr>
        <w:t>Avviso e chiarimenti;</w:t>
      </w:r>
    </w:p>
    <w:p w14:paraId="192BEFEE" w14:textId="77777777" w:rsidR="00020280" w:rsidRPr="00020280" w:rsidRDefault="00020280" w:rsidP="002E1B01">
      <w:pPr>
        <w:pStyle w:val="Puntoelenco"/>
        <w:tabs>
          <w:tab w:val="num" w:pos="360"/>
        </w:tabs>
        <w:spacing w:after="70" w:line="247" w:lineRule="auto"/>
        <w:ind w:left="369" w:hanging="142"/>
        <w:jc w:val="both"/>
        <w:rPr>
          <w:lang w:val="it-IT"/>
        </w:rPr>
      </w:pPr>
      <w:r w:rsidRPr="00020280">
        <w:rPr>
          <w:sz w:val="19"/>
          <w:lang w:val="it-IT"/>
        </w:rPr>
        <w:t>offerta tecnica;</w:t>
      </w:r>
    </w:p>
    <w:p w14:paraId="45A02B18" w14:textId="7A012F72" w:rsidR="00020280" w:rsidRPr="00020280" w:rsidRDefault="00020280" w:rsidP="002E1B01">
      <w:pPr>
        <w:pStyle w:val="Puntoelenco"/>
        <w:tabs>
          <w:tab w:val="num" w:pos="360"/>
        </w:tabs>
        <w:spacing w:after="70" w:line="247" w:lineRule="auto"/>
        <w:ind w:left="369" w:hanging="142"/>
        <w:jc w:val="both"/>
        <w:rPr>
          <w:lang w:val="it-IT"/>
        </w:rPr>
      </w:pPr>
      <w:r w:rsidRPr="00020280">
        <w:rPr>
          <w:sz w:val="19"/>
          <w:lang w:val="it-IT"/>
        </w:rPr>
        <w:t>offerta economica.</w:t>
      </w:r>
    </w:p>
    <w:p w14:paraId="2957F58F" w14:textId="77777777" w:rsidR="00020280" w:rsidRPr="00020280" w:rsidRDefault="00020280" w:rsidP="002E1B01">
      <w:pPr>
        <w:pStyle w:val="Puntoelenco"/>
        <w:numPr>
          <w:ilvl w:val="0"/>
          <w:numId w:val="0"/>
        </w:numPr>
        <w:spacing w:after="70" w:line="247" w:lineRule="auto"/>
        <w:jc w:val="both"/>
        <w:rPr>
          <w:sz w:val="19"/>
          <w:lang w:val="it-IT"/>
        </w:rPr>
      </w:pPr>
    </w:p>
    <w:p w14:paraId="3B927C27" w14:textId="77777777" w:rsidR="00020280" w:rsidRPr="00020280" w:rsidRDefault="00020280" w:rsidP="002E1B01">
      <w:pPr>
        <w:pStyle w:val="Puntoelenco"/>
        <w:numPr>
          <w:ilvl w:val="0"/>
          <w:numId w:val="0"/>
        </w:numPr>
        <w:spacing w:after="70" w:line="247" w:lineRule="auto"/>
        <w:jc w:val="both"/>
        <w:rPr>
          <w:sz w:val="19"/>
          <w:lang w:val="it-IT"/>
        </w:rPr>
      </w:pPr>
    </w:p>
    <w:p w14:paraId="27BBF9ED" w14:textId="77777777" w:rsidR="00020280" w:rsidRPr="00020280" w:rsidRDefault="00020280" w:rsidP="002E1B01">
      <w:pPr>
        <w:pStyle w:val="Puntoelenco"/>
        <w:numPr>
          <w:ilvl w:val="0"/>
          <w:numId w:val="0"/>
        </w:numPr>
        <w:spacing w:after="70" w:line="247" w:lineRule="auto"/>
        <w:jc w:val="both"/>
        <w:rPr>
          <w:lang w:val="it-IT"/>
        </w:rPr>
      </w:pPr>
    </w:p>
    <w:p w14:paraId="6D194078" w14:textId="77777777" w:rsidR="00020280" w:rsidRPr="00020280" w:rsidRDefault="00020280" w:rsidP="00BB00FC">
      <w:pPr>
        <w:spacing w:after="70" w:line="247" w:lineRule="auto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Campobasso, [DATA]</w:t>
      </w:r>
      <w:r w:rsidRPr="00020280">
        <w:rPr>
          <w:rFonts w:ascii="Calibri" w:hAnsi="Calibri"/>
          <w:color w:val="1F1F1F"/>
          <w:sz w:val="19"/>
          <w:lang w:val="it-IT"/>
        </w:rPr>
        <w:br/>
      </w:r>
      <w:r w:rsidRPr="00020280">
        <w:rPr>
          <w:rFonts w:ascii="Calibri" w:hAnsi="Calibri"/>
          <w:color w:val="1F1F1F"/>
          <w:sz w:val="19"/>
          <w:lang w:val="it-IT"/>
        </w:rPr>
        <w:br/>
        <w:t xml:space="preserve">Per </w:t>
      </w:r>
      <w:proofErr w:type="spellStart"/>
      <w:r w:rsidRPr="00020280">
        <w:rPr>
          <w:rFonts w:ascii="Calibri" w:hAnsi="Calibri"/>
          <w:color w:val="1F1F1F"/>
          <w:sz w:val="19"/>
          <w:lang w:val="it-IT"/>
        </w:rPr>
        <w:t>EUrelations</w:t>
      </w:r>
      <w:proofErr w:type="spellEnd"/>
      <w:r w:rsidRPr="00020280">
        <w:rPr>
          <w:rFonts w:ascii="Calibri" w:hAnsi="Calibri"/>
          <w:color w:val="1F1F1F"/>
          <w:sz w:val="19"/>
          <w:lang w:val="it-IT"/>
        </w:rPr>
        <w:t xml:space="preserve"> GEIE [___]</w:t>
      </w:r>
      <w:r w:rsidRPr="00020280">
        <w:rPr>
          <w:rFonts w:ascii="Calibri" w:hAnsi="Calibri"/>
          <w:color w:val="1F1F1F"/>
          <w:sz w:val="19"/>
          <w:lang w:val="it-IT"/>
        </w:rPr>
        <w:br/>
      </w:r>
      <w:r w:rsidRPr="00020280">
        <w:rPr>
          <w:rFonts w:ascii="Calibri" w:hAnsi="Calibri"/>
          <w:color w:val="1F1F1F"/>
          <w:sz w:val="19"/>
          <w:lang w:val="it-IT"/>
        </w:rPr>
        <w:br/>
        <w:t>Per l’Affidatario [___]</w:t>
      </w:r>
    </w:p>
    <w:p w14:paraId="7CCB33DA" w14:textId="77777777" w:rsidR="00020280" w:rsidRPr="00020280" w:rsidRDefault="00020280" w:rsidP="002E1B01">
      <w:pPr>
        <w:spacing w:after="70" w:line="247" w:lineRule="auto"/>
        <w:jc w:val="both"/>
        <w:rPr>
          <w:lang w:val="it-IT"/>
        </w:rPr>
      </w:pPr>
      <w:r w:rsidRPr="00020280">
        <w:rPr>
          <w:rFonts w:ascii="Calibri" w:hAnsi="Calibri"/>
          <w:color w:val="1F1F1F"/>
          <w:sz w:val="19"/>
          <w:lang w:val="it-IT"/>
        </w:rPr>
        <w:t>Ai sensi degli articoli 1341 e 1342 c.c., l’Affidatario approva specificamente le clausole 4, 6, 7, 8, 9, 11, 12, 14, 15, 16 e 18.</w:t>
      </w:r>
      <w:r w:rsidRPr="00020280">
        <w:rPr>
          <w:rFonts w:ascii="Calibri" w:hAnsi="Calibri"/>
          <w:color w:val="1F1F1F"/>
          <w:sz w:val="19"/>
          <w:lang w:val="it-IT"/>
        </w:rPr>
        <w:br/>
        <w:t>Firma dell’Affidatario [___]</w:t>
      </w:r>
    </w:p>
    <w:p w14:paraId="146C50D3" w14:textId="1B8AA7A4" w:rsidR="00B1483C" w:rsidRPr="002C5D3B" w:rsidRDefault="00B1483C" w:rsidP="002E1B01">
      <w:pPr>
        <w:spacing w:after="70" w:line="247" w:lineRule="auto"/>
        <w:jc w:val="both"/>
      </w:pPr>
    </w:p>
    <w:sectPr w:rsidR="00B1483C" w:rsidRPr="002C5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134" w:bottom="1984" w:left="1134" w:header="454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C468A" w14:textId="77777777" w:rsidR="00055E35" w:rsidRDefault="00055E35">
      <w:r>
        <w:separator/>
      </w:r>
    </w:p>
  </w:endnote>
  <w:endnote w:type="continuationSeparator" w:id="0">
    <w:p w14:paraId="327D5B1D" w14:textId="77777777" w:rsidR="00055E35" w:rsidRDefault="0005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7BF3" w14:textId="77777777" w:rsidR="00840030" w:rsidRDefault="0084003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F8C8D" w14:textId="4977757E" w:rsidR="00B1483C" w:rsidRDefault="00F3512D">
    <w:pPr>
      <w:pStyle w:val="IntestazioneepidipaginaA"/>
      <w:tabs>
        <w:tab w:val="clear" w:pos="9020"/>
        <w:tab w:val="center" w:pos="4819"/>
        <w:tab w:val="right" w:pos="9612"/>
      </w:tabs>
      <w:jc w:val="center"/>
      <w:rPr>
        <w:b/>
        <w:bCs/>
        <w:color w:val="60AB41"/>
        <w:sz w:val="14"/>
        <w:szCs w:val="14"/>
        <w:u w:color="44A921"/>
        <w:lang w:val="fr-FR"/>
      </w:rPr>
    </w:pPr>
    <w:r>
      <w:rPr>
        <w:b/>
        <w:bCs/>
        <w:color w:val="60AB41"/>
        <w:sz w:val="14"/>
        <w:szCs w:val="14"/>
      </w:rPr>
      <w:t xml:space="preserve">EURELATIONS G.E.I.E. </w:t>
    </w:r>
    <w:r>
      <w:rPr>
        <w:b/>
        <w:bCs/>
        <w:sz w:val="14"/>
        <w:szCs w:val="14"/>
      </w:rPr>
      <w:t xml:space="preserve">- </w:t>
    </w:r>
    <w:r>
      <w:rPr>
        <w:sz w:val="14"/>
        <w:szCs w:val="14"/>
      </w:rPr>
      <w:t>Via Francesco Crispi,1E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-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86100 - Campobasso (CB) -</w:t>
    </w:r>
    <w:r>
      <w:rPr>
        <w:color w:val="60AB41"/>
        <w:sz w:val="14"/>
        <w:szCs w:val="14"/>
      </w:rPr>
      <w:t xml:space="preserve"> </w:t>
    </w:r>
    <w:r>
      <w:rPr>
        <w:b/>
        <w:bCs/>
        <w:color w:val="60AB41"/>
        <w:sz w:val="14"/>
        <w:szCs w:val="14"/>
        <w:u w:color="44A921"/>
        <w:lang w:val="pt-PT"/>
      </w:rPr>
      <w:t xml:space="preserve">P. IVA  01479610709 </w:t>
    </w:r>
    <w:r>
      <w:rPr>
        <w:sz w:val="14"/>
        <w:szCs w:val="14"/>
        <w:lang w:val="de-DE"/>
      </w:rPr>
      <w:t>+39 0874 19</w:t>
    </w:r>
    <w:r w:rsidR="00840030">
      <w:rPr>
        <w:sz w:val="14"/>
        <w:szCs w:val="14"/>
        <w:lang w:val="de-DE"/>
      </w:rPr>
      <w:t>61</w:t>
    </w:r>
    <w:r>
      <w:rPr>
        <w:sz w:val="14"/>
        <w:szCs w:val="14"/>
        <w:lang w:val="de-DE"/>
      </w:rPr>
      <w:t>47</w:t>
    </w:r>
    <w:r w:rsidR="00840030">
      <w:rPr>
        <w:sz w:val="14"/>
        <w:szCs w:val="14"/>
        <w:lang w:val="de-DE"/>
      </w:rPr>
      <w:t>0</w:t>
    </w:r>
    <w:r>
      <w:rPr>
        <w:sz w:val="14"/>
        <w:szCs w:val="14"/>
        <w:lang w:val="de-DE"/>
      </w:rPr>
      <w:t xml:space="preserve"> - </w:t>
    </w:r>
    <w:r>
      <w:rPr>
        <w:b/>
        <w:bCs/>
        <w:color w:val="60AB41"/>
        <w:sz w:val="14"/>
        <w:szCs w:val="14"/>
        <w:lang w:val="fr-FR"/>
      </w:rPr>
      <w:t>info@eurelations.eu</w:t>
    </w:r>
  </w:p>
  <w:p w14:paraId="747FEC90" w14:textId="77777777" w:rsidR="00B1483C" w:rsidRDefault="00F3512D">
    <w:pPr>
      <w:pStyle w:val="Didefault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7280"/>
        <w:tab w:val="left" w:pos="7840"/>
        <w:tab w:val="left" w:pos="8400"/>
        <w:tab w:val="left" w:pos="8960"/>
        <w:tab w:val="left" w:pos="9520"/>
      </w:tabs>
      <w:spacing w:before="0" w:line="240" w:lineRule="auto"/>
      <w:jc w:val="center"/>
      <w:rPr>
        <w:b/>
        <w:bCs/>
        <w:color w:val="60AB41"/>
        <w:sz w:val="14"/>
        <w:szCs w:val="14"/>
        <w:u w:color="44A921"/>
        <w:lang w:val="fr-FR"/>
      </w:rPr>
    </w:pPr>
    <w:r>
      <w:rPr>
        <w:b/>
        <w:bCs/>
        <w:noProof/>
        <w:color w:val="60AB41"/>
        <w:sz w:val="14"/>
        <w:szCs w:val="14"/>
        <w:u w:color="44A921"/>
        <w:lang w:val="fr-FR"/>
      </w:rPr>
      <mc:AlternateContent>
        <mc:Choice Requires="wps">
          <w:drawing>
            <wp:inline distT="0" distB="0" distL="0" distR="0" wp14:anchorId="69404CA7" wp14:editId="62C9A14C">
              <wp:extent cx="674154" cy="0"/>
              <wp:effectExtent l="0" t="0" r="0" b="0"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4154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chemeClr val="accent3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w16cei="http://schemas.microsoft.com/office/word/2026/wordml/cei">
          <w:pict>
            <v:line id="_x0000_s1026" style="visibility:visible;width:53.1pt;height:0.0pt;">
              <v:fill on="f"/>
              <v:stroke filltype="solid" color="#61D836" opacity="100.0%" weight="0.5pt" dashstyle="solid" endcap="flat" joinstyle="round" linestyle="single" startarrow="none" startarrowwidth="medium" startarrowlength="medium" endarrow="none" endarrowwidth="medium" endarrowlength="medium"/>
            </v:line>
          </w:pict>
        </mc:Fallback>
      </mc:AlternateContent>
    </w:r>
  </w:p>
  <w:p w14:paraId="6AA34D5E" w14:textId="77777777" w:rsidR="00B1483C" w:rsidRDefault="00F3512D">
    <w:pPr>
      <w:pStyle w:val="Didefault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7280"/>
        <w:tab w:val="left" w:pos="7840"/>
        <w:tab w:val="left" w:pos="8400"/>
        <w:tab w:val="left" w:pos="8960"/>
        <w:tab w:val="left" w:pos="9520"/>
      </w:tabs>
      <w:spacing w:before="0" w:line="240" w:lineRule="auto"/>
      <w:jc w:val="center"/>
    </w:pPr>
    <w:r>
      <w:rPr>
        <w:b/>
        <w:bCs/>
        <w:sz w:val="14"/>
        <w:szCs w:val="14"/>
        <w:u w:color="44A921"/>
        <w:lang w:val="fr-FR"/>
      </w:rPr>
      <w:fldChar w:fldCharType="begin"/>
    </w:r>
    <w:r>
      <w:rPr>
        <w:b/>
        <w:bCs/>
        <w:sz w:val="14"/>
        <w:szCs w:val="14"/>
        <w:u w:color="44A921"/>
        <w:lang w:val="fr-FR"/>
      </w:rPr>
      <w:instrText xml:space="preserve"> PAGE </w:instrText>
    </w:r>
    <w:r>
      <w:rPr>
        <w:b/>
        <w:bCs/>
        <w:sz w:val="14"/>
        <w:szCs w:val="14"/>
        <w:u w:color="44A921"/>
        <w:lang w:val="fr-FR"/>
      </w:rPr>
      <w:fldChar w:fldCharType="separate"/>
    </w:r>
    <w:r>
      <w:rPr>
        <w:b/>
        <w:bCs/>
        <w:sz w:val="14"/>
        <w:szCs w:val="14"/>
        <w:u w:color="44A921"/>
        <w:lang w:val="fr-FR"/>
      </w:rPr>
      <w:t>1</w:t>
    </w:r>
    <w:r>
      <w:rPr>
        <w:b/>
        <w:bCs/>
        <w:sz w:val="14"/>
        <w:szCs w:val="14"/>
        <w:u w:color="44A921"/>
        <w:lang w:val="fr-FR"/>
      </w:rPr>
      <w:fldChar w:fldCharType="end"/>
    </w:r>
    <w:r>
      <w:rPr>
        <w:rFonts w:ascii="Helvetica Neue Medium" w:hAnsi="Helvetica Neue Medium"/>
        <w:sz w:val="14"/>
        <w:szCs w:val="14"/>
        <w:u w:color="44A921"/>
        <w:lang w:val="fr-F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CFAF" w14:textId="77777777" w:rsidR="00840030" w:rsidRDefault="008400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30F29" w14:textId="77777777" w:rsidR="00055E35" w:rsidRDefault="00055E35">
      <w:r>
        <w:separator/>
      </w:r>
    </w:p>
  </w:footnote>
  <w:footnote w:type="continuationSeparator" w:id="0">
    <w:p w14:paraId="09D2D51E" w14:textId="77777777" w:rsidR="00055E35" w:rsidRDefault="0005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B86C7" w14:textId="77777777" w:rsidR="00840030" w:rsidRDefault="0084003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A92EA" w14:textId="77777777" w:rsidR="00B1483C" w:rsidRDefault="00F3512D">
    <w:pPr>
      <w:pStyle w:val="IntestazioneepidipaginaA"/>
      <w:tabs>
        <w:tab w:val="clear" w:pos="9020"/>
        <w:tab w:val="center" w:pos="4819"/>
        <w:tab w:val="right" w:pos="9612"/>
      </w:tabs>
    </w:pPr>
    <w:r>
      <w:rPr>
        <w:noProof/>
      </w:rPr>
      <w:drawing>
        <wp:inline distT="0" distB="0" distL="0" distR="0" wp14:anchorId="72D22F8D" wp14:editId="0477212C">
          <wp:extent cx="2098802" cy="432000"/>
          <wp:effectExtent l="0" t="0" r="0" b="0"/>
          <wp:docPr id="1073741825" name="officeArt object" descr="pasted-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asted-image.png" descr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8802" cy="432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004B" w14:textId="77777777" w:rsidR="00840030" w:rsidRDefault="008400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5A223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FE1B9C"/>
    <w:multiLevelType w:val="hybridMultilevel"/>
    <w:tmpl w:val="E0829F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2187575">
    <w:abstractNumId w:val="0"/>
  </w:num>
  <w:num w:numId="2" w16cid:durableId="826827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3C"/>
    <w:rsid w:val="00020280"/>
    <w:rsid w:val="00055E35"/>
    <w:rsid w:val="000B18B8"/>
    <w:rsid w:val="000B7AD3"/>
    <w:rsid w:val="001B09F2"/>
    <w:rsid w:val="001D2F14"/>
    <w:rsid w:val="001F521C"/>
    <w:rsid w:val="00247ECE"/>
    <w:rsid w:val="002C5D3B"/>
    <w:rsid w:val="002E1B01"/>
    <w:rsid w:val="003906ED"/>
    <w:rsid w:val="0039649B"/>
    <w:rsid w:val="003E3C07"/>
    <w:rsid w:val="005C3621"/>
    <w:rsid w:val="005E05F2"/>
    <w:rsid w:val="00680B99"/>
    <w:rsid w:val="00761829"/>
    <w:rsid w:val="00791137"/>
    <w:rsid w:val="00840030"/>
    <w:rsid w:val="008B6927"/>
    <w:rsid w:val="008C1BD4"/>
    <w:rsid w:val="00920A25"/>
    <w:rsid w:val="00981F31"/>
    <w:rsid w:val="00997FF2"/>
    <w:rsid w:val="00A002DA"/>
    <w:rsid w:val="00B016D4"/>
    <w:rsid w:val="00B1483C"/>
    <w:rsid w:val="00B408AC"/>
    <w:rsid w:val="00BB00FC"/>
    <w:rsid w:val="00C2768C"/>
    <w:rsid w:val="00C40791"/>
    <w:rsid w:val="00C42B92"/>
    <w:rsid w:val="00C615A3"/>
    <w:rsid w:val="00C8699C"/>
    <w:rsid w:val="00CE50CB"/>
    <w:rsid w:val="00DF53D8"/>
    <w:rsid w:val="00EA4DA5"/>
    <w:rsid w:val="00EF44E5"/>
    <w:rsid w:val="00F3512D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6143"/>
  <w15:docId w15:val="{2DA17D92-0B86-4B04-A5B3-08466246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61829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80" w:after="120" w:line="259" w:lineRule="auto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  <w:bdr w:val="none" w:sz="0" w:space="0" w:color="auto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C5D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A">
    <w:name w:val="Intestazione e piè di pagina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8400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003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400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0030"/>
    <w:rPr>
      <w:sz w:val="24"/>
      <w:szCs w:val="24"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1829"/>
    <w:rPr>
      <w:rFonts w:asciiTheme="majorHAnsi" w:eastAsiaTheme="majorEastAsia" w:hAnsiTheme="majorHAnsi" w:cstheme="majorBidi"/>
      <w:b/>
      <w:bCs/>
      <w:color w:val="1F4E79"/>
      <w:sz w:val="28"/>
      <w:szCs w:val="28"/>
      <w:bdr w:val="none" w:sz="0" w:space="0" w:color="auto"/>
      <w:lang w:val="en-US" w:eastAsia="en-US"/>
    </w:rPr>
  </w:style>
  <w:style w:type="paragraph" w:styleId="Puntoelenco">
    <w:name w:val="List Bullet"/>
    <w:basedOn w:val="Normale"/>
    <w:uiPriority w:val="99"/>
    <w:unhideWhenUsed/>
    <w:rsid w:val="00761829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360"/>
      </w:tabs>
      <w:spacing w:after="100" w:line="259" w:lineRule="auto"/>
      <w:ind w:left="0" w:firstLine="0"/>
      <w:contextualSpacing/>
    </w:pPr>
    <w:rPr>
      <w:rFonts w:ascii="Calibri" w:eastAsiaTheme="minorEastAsia" w:hAnsi="Calibri" w:cstheme="minorBidi"/>
      <w:color w:val="1F1F1F"/>
      <w:sz w:val="21"/>
      <w:szCs w:val="22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5D3B"/>
    <w:rPr>
      <w:rFonts w:asciiTheme="majorHAnsi" w:eastAsiaTheme="majorEastAsia" w:hAnsiTheme="majorHAnsi" w:cstheme="majorBidi"/>
      <w:color w:val="0079BF" w:themeColor="accent1" w:themeShade="BF"/>
      <w:sz w:val="26"/>
      <w:szCs w:val="26"/>
      <w:lang w:val="en-US"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2C5D3B"/>
    <w:pPr>
      <w:keepNext/>
      <w:pBdr>
        <w:top w:val="none" w:sz="0" w:space="0" w:color="auto"/>
        <w:left w:val="none" w:sz="0" w:space="0" w:color="auto"/>
        <w:bottom w:val="single" w:sz="8" w:space="4" w:color="00A2FF" w:themeColor="accent1"/>
        <w:right w:val="none" w:sz="0" w:space="0" w:color="auto"/>
        <w:between w:val="none" w:sz="0" w:space="0" w:color="auto"/>
        <w:bar w:val="none" w:sz="0" w:color="auto"/>
      </w:pBdr>
      <w:spacing w:after="160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  <w:bdr w:val="none" w:sz="0" w:space="0" w:color="auto"/>
    </w:rPr>
  </w:style>
  <w:style w:type="character" w:customStyle="1" w:styleId="TitoloCarattere">
    <w:name w:val="Titolo Carattere"/>
    <w:basedOn w:val="Carpredefinitoparagrafo"/>
    <w:link w:val="Titolo"/>
    <w:uiPriority w:val="10"/>
    <w:rsid w:val="002C5D3B"/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  <w:bdr w:val="none" w:sz="0" w:space="0" w:color="auto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5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Calise</dc:creator>
  <cp:lastModifiedBy>angela zeffiro</cp:lastModifiedBy>
  <cp:revision>10</cp:revision>
  <dcterms:created xsi:type="dcterms:W3CDTF">2026-08-24T13:03:00Z</dcterms:created>
  <dcterms:modified xsi:type="dcterms:W3CDTF">2026-08-24T15:51:00Z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2026-08-13T14:21:17Z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57211f96-dba0-4778-bef2-0be9b7da8aa3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50, 3, 0, 1</vt:lpwstr>
  </property>
</Properties>
</file>